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  <w:t>ПРОЕКТ</w:t>
      </w:r>
    </w:p>
    <w:p>
      <w:pPr>
        <w:pStyle w:val="BodyText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</w:r>
    </w:p>
    <w:p>
      <w:pPr>
        <w:pStyle w:val="BodyText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686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 внесении изменений в постановление Исполнительного комитета Сабинского муниципального района Республики Татарстан от 01.07.2024 №551-п «Об условиях оплаты труда работников муниципальных организаций молодежной политики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В соответствии с постановлением Кабинета Министров Республики Татарстан от от 22.09.2025 №720 «О внесении изменений в постановление Кабинета Министров Республики Татарстан от 14.08.2018 №665 «Об условиях оплаты труда работников государственных организаций молодежной политики Республики Татарстан»,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sz w:val="26"/>
          <w:szCs w:val="26"/>
        </w:rPr>
        <w:t xml:space="preserve">1. </w:t>
      </w:r>
      <w:r>
        <w:rPr>
          <w:rFonts w:eastAsia="Calibri" w:cs="Times New Roman" w:ascii="PT Astra Serif" w:hAnsi="PT Astra Serif"/>
          <w:sz w:val="26"/>
          <w:szCs w:val="26"/>
        </w:rPr>
        <w:t>Внести в Положение об условиях оплаты труда работников муниципальных учреждений молодежной политики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№551-п «Об условиях оплаты труда работников муниципальных организаций молодежной политики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sz w:val="26"/>
          <w:szCs w:val="26"/>
        </w:rPr>
        <w:t>1.1.</w:t>
      </w: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 </w:t>
      </w:r>
      <w:r>
        <w:rPr>
          <w:rFonts w:cs="Times New Roman" w:ascii="PT Astra Serif" w:hAnsi="PT Astra Serif"/>
          <w:sz w:val="26"/>
          <w:szCs w:val="26"/>
        </w:rPr>
        <w:t>раздел II изложить в следующей редакции:</w:t>
      </w:r>
    </w:p>
    <w:p>
      <w:pPr>
        <w:pStyle w:val="Normal"/>
        <w:shd w:val="clear" w:fill="FFFFFF"/>
        <w:spacing w:lineRule="auto" w:line="240" w:before="94" w:after="94"/>
        <w:ind w:left="914" w:right="914" w:hanging="0"/>
        <w:jc w:val="center"/>
        <w:rPr>
          <w:rFonts w:ascii="PT Astra Serif" w:hAnsi="PT Astra Serif"/>
          <w:b w:val="false"/>
          <w:bCs w:val="false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«II. Определение базовых окладов работников организаций молодежной политики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tbl>
      <w:tblPr>
        <w:tblW w:w="957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2583"/>
        <w:gridCol w:w="3530"/>
      </w:tblGrid>
      <w:tr>
        <w:trPr/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3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 рублей</w:t>
            </w:r>
          </w:p>
        </w:tc>
      </w:tr>
      <w:tr>
        <w:trPr/>
        <w:tc>
          <w:tcPr>
            <w:tcW w:w="95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>
        <w:trPr/>
        <w:tc>
          <w:tcPr>
            <w:tcW w:w="3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58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Хореограф</w:t>
            </w:r>
          </w:p>
        </w:tc>
        <w:tc>
          <w:tcPr>
            <w:tcW w:w="353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26 610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 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2.2. Базовые оклады работников образования организаций молодежной политики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3500"/>
        <w:gridCol w:w="2652"/>
      </w:tblGrid>
      <w:tr>
        <w:trPr/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2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Секретарь учебной части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25 960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3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Дежурный по режиму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26 090</w:t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Младший воспитатель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Инструктор по труду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Социальный педагог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27 650</w:t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Старший тренер-преподаватель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Старший методист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Учитель-логопед (логопед)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3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Старший воспитатель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27 830</w:t>
            </w:r>
          </w:p>
        </w:tc>
      </w:tr>
      <w:tr>
        <w:trPr/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27 890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Базовый оклад работников, занимающих должности "специалист по работе с молодежью" и "специалист по социальной работе с молодежью", составляет 27 500 рублей.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2.3. Базовые оклады медицинских работников организаций молодежной политики устанавливаются в следующих размерах:</w:t>
      </w:r>
    </w:p>
    <w:tbl>
      <w:tblPr>
        <w:tblW w:w="9720" w:type="dxa"/>
        <w:jc w:val="left"/>
        <w:tblInd w:w="-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150"/>
        <w:gridCol w:w="3250"/>
        <w:gridCol w:w="10"/>
        <w:gridCol w:w="2850"/>
      </w:tblGrid>
      <w:tr>
        <w:trPr/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 рублей</w:t>
            </w:r>
          </w:p>
        </w:tc>
      </w:tr>
      <w:tr>
        <w:trPr/>
        <w:tc>
          <w:tcPr>
            <w:tcW w:w="97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>
        <w:trPr/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Медицинская сестра диетическая (медицинский брат диетический)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27 210</w:t>
            </w:r>
          </w:p>
        </w:tc>
      </w:tr>
      <w:tr>
        <w:trPr/>
        <w:tc>
          <w:tcPr>
            <w:tcW w:w="3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Медицинская сестра (медицинский брат)</w:t>
            </w:r>
          </w:p>
        </w:tc>
        <w:tc>
          <w:tcPr>
            <w:tcW w:w="28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27 760</w:t>
            </w:r>
          </w:p>
        </w:tc>
      </w:tr>
      <w:tr>
        <w:trPr/>
        <w:tc>
          <w:tcPr>
            <w:tcW w:w="346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3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Медицинская сестра по массажу (медицинский брат по массажу)</w:t>
            </w:r>
          </w:p>
        </w:tc>
        <w:tc>
          <w:tcPr>
            <w:tcW w:w="28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97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"Врачи и провизоры"</w:t>
            </w:r>
          </w:p>
        </w:tc>
      </w:tr>
      <w:tr>
        <w:trPr/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32 090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2.4. Базовые оклады работников культуры организаций молодежной политики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6"/>
        <w:gridCol w:w="3353"/>
      </w:tblGrid>
      <w:tr>
        <w:trPr/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Контролер билетов</w:t>
            </w:r>
          </w:p>
        </w:tc>
        <w:tc>
          <w:tcPr>
            <w:tcW w:w="33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26 900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Аккомпаниатор</w:t>
            </w:r>
          </w:p>
        </w:tc>
        <w:tc>
          <w:tcPr>
            <w:tcW w:w="335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27 450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костюмерной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Культорганизатор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335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Звукооператор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Кинооператор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методике клубной работы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 по свету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Художник-декоратор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Художник-оформитель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Художник-фотограф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35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29 320</w:t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Звукорежиссер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Режиссер-постановщик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 (дирижер, балетмейстер, хормейстер)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6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335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Размер коэффициента приоритета отрасли составляет: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по профессиональным квалификационным группам "Должности работников культуры, искусства и кинематографии среднего звена" и "Должности работников культуры, искусства и кинематографии ведущего звена" - 1,12;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b/>
          <w:bCs/>
          <w:color w:val="000000"/>
          <w:sz w:val="26"/>
          <w:szCs w:val="26"/>
        </w:rPr>
        <w:t xml:space="preserve">1.2. </w:t>
      </w:r>
      <w:r>
        <w:rPr>
          <w:rFonts w:cs="Arial" w:ascii="PT Astra Serif" w:hAnsi="PT Astra Serif"/>
          <w:color w:val="000000"/>
          <w:sz w:val="26"/>
          <w:szCs w:val="26"/>
        </w:rPr>
        <w:t>таблицу 16 пункт 7.4. раздела VIII изложить в следующей редакции:</w:t>
      </w:r>
    </w:p>
    <w:p>
      <w:pPr>
        <w:pStyle w:val="Normal"/>
        <w:shd w:val="clear" w:fill="FFFFFF"/>
        <w:spacing w:lineRule="auto" w:line="240" w:before="94" w:after="94"/>
        <w:jc w:val="right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«Таблица 16</w:t>
      </w:r>
    </w:p>
    <w:p>
      <w:pPr>
        <w:pStyle w:val="Normal"/>
        <w:shd w:val="clear" w:fill="FFFFFF"/>
        <w:spacing w:lineRule="auto" w:line="240" w:before="94" w:after="94"/>
        <w:ind w:left="914" w:right="914" w:hanging="0"/>
        <w:jc w:val="center"/>
        <w:rPr>
          <w:rFonts w:ascii="PT Astra Serif" w:hAnsi="PT Astra Serif" w:cs="Arial"/>
          <w:b w:val="false"/>
          <w:bCs w:val="false"/>
          <w:color w:val="000000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Размеры базовых окладов руководителей организаций молодежной политики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231"/>
        <w:gridCol w:w="2195"/>
        <w:gridCol w:w="2640"/>
      </w:tblGrid>
      <w:tr>
        <w:trPr/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2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типа организации/ штатная численность организации, единиц</w:t>
            </w:r>
          </w:p>
        </w:tc>
        <w:tc>
          <w:tcPr>
            <w:tcW w:w="2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Группа по оплате труда</w:t>
            </w:r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Оклад руководителя</w:t>
            </w:r>
            <w:r>
              <w:rPr>
                <w:rFonts w:cs="Arial" w:ascii="PT Astra Serif" w:hAnsi="PT Astra Serif"/>
                <w:color w:val="000000"/>
                <w:sz w:val="26"/>
                <w:szCs w:val="26"/>
                <w:vertAlign w:val="superscript"/>
              </w:rPr>
              <w:t> *</w:t>
            </w: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, рублей</w:t>
            </w:r>
          </w:p>
        </w:tc>
      </w:tr>
      <w:tr>
        <w:trPr/>
        <w:tc>
          <w:tcPr>
            <w:tcW w:w="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Молодежные центры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38720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43200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 до 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48640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51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51910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 до 150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54090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151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60740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Оздоровительно-досуговые учреждения (лагеря)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41140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44170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Молодежные (подростковые) клубы по месту жительства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12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38720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13 до 25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44170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26 до 40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49730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41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51910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 до 140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55300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141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80470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военно-патриотической работы и подготовки допризывной молодежи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32670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20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42830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21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53000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молодежных (студенческих) формирований по охране общественного порядка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40540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46460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 до 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47670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51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48880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 до 90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50090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91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51300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по организации оздоровления, отдыха и занятости детей и подростков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45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49610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46 до 90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54450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91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59290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студенческих трудовых отрядов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47430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48640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49850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психолого-педагогической помощи детям и молодежи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48520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25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52150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26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55780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экстренной психологической помощи по телефону для детей и молодежи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47190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52030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 до 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56870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51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61710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67760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Социально-реабилитационный центр для детей с девиантным поведением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20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55660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21 до 40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58080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41 до 60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60500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61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62920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Центры содействия молодежи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12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38720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13 до 25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44170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26 до 40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49730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41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51910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 до 140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55300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141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80470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906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Республиканские центры молодежных, инновационных и профилактических программ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38720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43200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 до 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48640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51 до 70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51910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71 до 150 включительно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54090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423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151</w:t>
            </w:r>
          </w:p>
        </w:tc>
        <w:tc>
          <w:tcPr>
            <w:tcW w:w="21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60740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Для руководителей муниципальных 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1,1.».</w:t>
      </w:r>
    </w:p>
    <w:p>
      <w:pPr>
        <w:pStyle w:val="Normal"/>
        <w:spacing w:lineRule="auto" w:line="240" w:before="0" w:after="0"/>
        <w:ind w:firstLine="567"/>
        <w:jc w:val="both"/>
        <w:rPr>
          <w:rFonts w:eastAsia="Calibri" w:cs="Times New Roman"/>
          <w:b/>
          <w:bCs/>
          <w:i w:val="false"/>
          <w:i w:val="false"/>
          <w:iCs w:val="false"/>
          <w:color w:val="000000"/>
        </w:rPr>
      </w:pPr>
      <w:r>
        <w:rPr>
          <w:rFonts w:eastAsia="Calibri" w:cs="Times New Roman"/>
          <w:b/>
          <w:bCs/>
          <w:i w:val="false"/>
          <w:iCs w:val="false"/>
          <w:color w:val="00000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2. </w:t>
      </w:r>
      <w:r>
        <w:rPr>
          <w:rFonts w:eastAsia="Calibri" w:cs="Times New Roman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>Внести в Положение об условиях оплаты труда работников профессиональных квалификационных групп общеотраслевых профессий рабочих, общеотраслевых должностей руководителей, специалистов и служащих муниципальных учреждений молодежной политики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№551-п «Об условиях оплаты труда работников муниципальных организаций молодежной политики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2.1. </w:t>
      </w:r>
      <w:r>
        <w:rPr>
          <w:rFonts w:cs="Arial" w:ascii="PT Astra Serif" w:hAnsi="PT Astra Serif"/>
          <w:color w:val="000000"/>
          <w:sz w:val="26"/>
          <w:szCs w:val="26"/>
        </w:rPr>
        <w:t>раздел II изложить в следующей редакции:</w:t>
      </w:r>
    </w:p>
    <w:p>
      <w:pPr>
        <w:pStyle w:val="Normal"/>
        <w:shd w:val="clear" w:fill="FFFFFF"/>
        <w:spacing w:lineRule="auto" w:line="240" w:before="94" w:after="94"/>
        <w:ind w:left="914" w:right="914" w:hanging="0"/>
        <w:jc w:val="center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«II.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организаций молодежной политики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</w:t>
      </w:r>
      <w:r>
        <w:rPr>
          <w:rFonts w:cs="Arial" w:ascii="PT Astra Serif" w:hAnsi="PT Astra Serif"/>
          <w:color w:val="000000"/>
          <w:sz w:val="26"/>
          <w:szCs w:val="26"/>
        </w:rPr>
        <w:t xml:space="preserve"> кинематографии организаций молодежной политики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1"/>
        <w:gridCol w:w="3838"/>
      </w:tblGrid>
      <w:tr>
        <w:trPr/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5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83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27 010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2.2. 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2"/>
        <w:gridCol w:w="3887"/>
      </w:tblGrid>
      <w:tr>
        <w:trPr/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 рублей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>
          <w:trHeight w:val="356" w:hRule="atLeast"/>
        </w:trPr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27 080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27 300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27 560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29 040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29 260</w:t>
            </w:r>
          </w:p>
        </w:tc>
      </w:tr>
      <w:tr>
        <w:trPr/>
        <w:tc>
          <w:tcPr>
            <w:tcW w:w="5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29 480</w:t>
            </w:r>
          </w:p>
        </w:tc>
      </w:tr>
    </w:tbl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 w:cs="Times New Roman"/>
          <w:b w:val="false"/>
          <w:bCs w:val="false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 w:cs="Times New Roman"/>
          <w:b w:val="false"/>
          <w:bCs w:val="false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 w:cs="Times New Roman"/>
          <w:b w:val="false"/>
          <w:bCs w:val="false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3. </w:t>
      </w:r>
      <w:r>
        <w:rPr>
          <w:rFonts w:cs="Times New Roman" w:ascii="PT Astra Serif" w:hAnsi="PT Astra Serif"/>
          <w:sz w:val="26"/>
          <w:szCs w:val="26"/>
        </w:rPr>
        <w:t>Установить, что настоящее постановление вступает в силу с 1 января 2026 года.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/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4. </w:t>
      </w:r>
      <w:r>
        <w:rPr>
          <w:rFonts w:cs="Times New Roman"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PT Astra Serif" w:hAnsi="PT Astra Serif"/>
            <w:sz w:val="26"/>
            <w:szCs w:val="26"/>
          </w:rPr>
          <w:t>http://pravo.tatarstan.ru</w:t>
        </w:r>
      </w:hyperlink>
      <w:r>
        <w:rPr>
          <w:rFonts w:cs="Times New Roman" w:ascii="PT Astra Serif" w:hAnsi="PT Astra Serif"/>
          <w:sz w:val="26"/>
          <w:szCs w:val="26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Руководитель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Сабинского муниципального района</w:t>
        <w:tab/>
        <w:tab/>
        <w:tab/>
        <w:tab/>
        <w:t>М.Р. Каримов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hd w:val="clear" w:color="auto" w:fill="auto"/>
      <w:ind w:left="6015" w:hanging="0"/>
      <w:rPr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b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21b0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1b0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1b0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1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1b0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1b06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1b0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1b0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1b06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516ebd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21b06"/>
    <w:rPr>
      <w:b/>
      <w:bCs/>
      <w:color w:val="auto"/>
    </w:rPr>
  </w:style>
  <w:style w:type="character" w:styleId="Style1" w:customStyle="1">
    <w:name w:val="Текст выноски Знак"/>
    <w:basedOn w:val="DefaultParagraphFont"/>
    <w:link w:val="BalloonText"/>
    <w:uiPriority w:val="99"/>
    <w:qFormat/>
    <w:rsid w:val="00516ebd"/>
    <w:rPr>
      <w:rFonts w:ascii="Tahoma" w:hAnsi="Tahoma" w:eastAsia="Times New Roman" w:cs="Tahoma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aa18c3"/>
    <w:rPr/>
  </w:style>
  <w:style w:type="character" w:styleId="Style3" w:customStyle="1">
    <w:name w:val="Нижний колонтитул Знак"/>
    <w:basedOn w:val="DefaultParagraphFont"/>
    <w:uiPriority w:val="99"/>
    <w:qFormat/>
    <w:rsid w:val="00aa18c3"/>
    <w:rPr/>
  </w:style>
  <w:style w:type="character" w:styleId="1" w:customStyle="1">
    <w:name w:val="Заголовок 1 Знак"/>
    <w:basedOn w:val="DefaultParagraphFont"/>
    <w:uiPriority w:val="9"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Style4" w:customStyle="1">
    <w:name w:val="Заголовок Знак"/>
    <w:basedOn w:val="DefaultParagraphFont"/>
    <w:uiPriority w:val="10"/>
    <w:qFormat/>
    <w:rsid w:val="00321b06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sid w:val="00321b0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21b06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1b06"/>
    <w:rPr>
      <w:i/>
      <w:iCs/>
      <w:color w:val="404040" w:themeColor="text1" w:themeTint="bf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sid w:val="00321b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21b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b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21b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21b06"/>
    <w:rPr>
      <w:b/>
      <w:bCs/>
      <w:i/>
      <w:iCs/>
      <w:spacing w:val="5"/>
    </w:rPr>
  </w:style>
  <w:style w:type="character" w:styleId="Style7" w:customStyle="1">
    <w:name w:val="Основной текст_"/>
    <w:basedOn w:val="DefaultParagraphFont"/>
    <w:link w:val="22"/>
    <w:qFormat/>
    <w:rsid w:val="00784e0b"/>
    <w:rPr>
      <w:rFonts w:ascii="Times New Roman" w:hAnsi="Times New Roman" w:eastAsia="Times New Roman" w:cs="Times New Roman"/>
      <w:shd w:fill="FFFFFF" w:val="clear"/>
    </w:rPr>
  </w:style>
  <w:style w:type="character" w:styleId="Style8" w:customStyle="1">
    <w:name w:val="Колонтитул_"/>
    <w:basedOn w:val="DefaultParagraphFont"/>
    <w:link w:val="Style12"/>
    <w:qFormat/>
    <w:rsid w:val="002a753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 w:customStyle="1">
    <w:name w:val="Колонтитул + 9 pt;Интервал 0 pt"/>
    <w:basedOn w:val="Style8"/>
    <w:qFormat/>
    <w:rsid w:val="002a753c"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f008c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rsid w:val="00516ebd"/>
    <w:pPr>
      <w:spacing w:lineRule="auto" w:line="240" w:before="0" w:after="0"/>
      <w:ind w:left="72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1" w:customStyle="1">
    <w:name w:val="Знак"/>
    <w:basedOn w:val="Normal"/>
    <w:qFormat/>
    <w:rsid w:val="00516eb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uiPriority w:val="99"/>
    <w:qFormat/>
    <w:rsid w:val="00516eb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2" w:customStyle="1">
    <w:name w:val="Колонтитул"/>
    <w:basedOn w:val="Normal"/>
    <w:link w:val="Style8"/>
    <w:qFormat/>
    <w:rsid w:val="002a753c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uiPriority w:val="99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8e5cb5"/>
    <w:pPr>
      <w:spacing w:before="0" w:after="16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321b06"/>
    <w:pPr>
      <w:spacing w:lineRule="auto" w:line="240" w:before="0"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Style4"/>
    <w:uiPriority w:val="10"/>
    <w:qFormat/>
    <w:rsid w:val="00321b0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21b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rsid w:val="00321b06"/>
    <w:pPr>
      <w:spacing w:before="200" w:after="160"/>
      <w:ind w:left="864" w:right="864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6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b06"/>
    <w:pPr>
      <w:outlineLvl w:val="9"/>
    </w:pPr>
    <w:rPr/>
  </w:style>
  <w:style w:type="paragraph" w:styleId="22" w:customStyle="1">
    <w:name w:val="Основной текст2"/>
    <w:basedOn w:val="Normal"/>
    <w:link w:val="Style7"/>
    <w:qFormat/>
    <w:rsid w:val="00784e0b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ConsPlusNormal" w:customStyle="1">
    <w:name w:val="ConsPlusNormal"/>
    <w:qFormat/>
    <w:rsid w:val="00dd708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3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516eb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6eb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DBB2-C24A-4D2A-A378-D1154918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AlterOffice/3.4.0.5$Linux_X86_64 LibreOffice_project/42a56b0e8fd994740b90ec49d38dce7d78d7a7e4</Application>
  <AppVersion>15.0000</AppVersion>
  <Pages>8</Pages>
  <Words>1614</Words>
  <Characters>11910</Characters>
  <CharactersWithSpaces>13145</CharactersWithSpaces>
  <Paragraphs>387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2024-10-31T10:32:00Z</dcterms:created>
  <dc:creator>Admin</dc:creator>
  <dc:description/>
  <dc:language>ru-RU</dc:language>
  <cp:lastModifiedBy>saby</cp:lastModifiedBy>
  <cp:lastPrinted>2025-05-05T13:34:44Z</cp:lastPrinted>
  <dcterms:modified xsi:type="dcterms:W3CDTF">2025-12-13T14:36:53Z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