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rFonts w:eastAsia="Times New Roman" w:ascii="Times New Roman" w:hAnsi="Times New Roman"/>
          <w:sz w:val="26"/>
          <w:szCs w:val="20"/>
        </w:rPr>
        <w:t>ПРОЕКТ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686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 внесении изменений в постановление Исполнительного комитета Сабинского муниципального района Республики Татарстан от 01.07.2024 №552-п «Об условиях оплаты труда работников муниципальных учреждений культуры Сабинского муниципального района Республики Татарстан»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</w:t>
      </w:r>
      <w:r>
        <w:rPr>
          <w:rFonts w:eastAsia="Calibri" w:cs="Times New Roman" w:ascii="Times New Roman" w:hAnsi="Times New Roman"/>
          <w:sz w:val="26"/>
          <w:szCs w:val="26"/>
        </w:rPr>
        <w:t xml:space="preserve"> соответствии с постановлением Кабинета Министров Республики Татарстан от 22.09.2025 №721 «О внесении изменений в постановление Кабинета Министров Республики Татарстан от 31.05.2018 №413 «Об условиях оплаты труда работников государственных учреждений культуры Республики Татарстан»,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hanging="0"/>
        <w:jc w:val="center"/>
        <w:rPr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ПОСТАНОВЛЯЕТ:</w:t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</w:rPr>
        <w:t xml:space="preserve">1. </w:t>
      </w:r>
      <w:r>
        <w:rPr>
          <w:rFonts w:eastAsia="Calibri" w:cs="Times New Roman" w:ascii="Times New Roman" w:hAnsi="Times New Roman"/>
          <w:sz w:val="26"/>
          <w:szCs w:val="26"/>
        </w:rPr>
        <w:t>Внести в Положение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культуры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№552-п «Об условиях оплаты труда работников муниципальных учреждений культуры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</w:rPr>
        <w:t xml:space="preserve">1.1. </w:t>
      </w:r>
      <w:r>
        <w:rPr>
          <w:rFonts w:cs="Times New Roman" w:ascii="PT Astra Serif" w:hAnsi="PT Astra Serif"/>
          <w:sz w:val="26"/>
          <w:szCs w:val="26"/>
        </w:rPr>
        <w:t>раздел II изложить в следующей редакции:</w:t>
      </w:r>
    </w:p>
    <w:p>
      <w:pPr>
        <w:pStyle w:val="Normal"/>
        <w:shd w:val="clear" w:fill="FFFFFF"/>
        <w:spacing w:lineRule="auto" w:line="240" w:before="94" w:after="94"/>
        <w:ind w:left="914" w:right="914" w:hanging="0"/>
        <w:jc w:val="center"/>
        <w:rPr>
          <w:rFonts w:ascii="PT Astra Serif" w:hAnsi="PT Astra Serif" w:cs="Arial"/>
          <w:b w:val="false"/>
          <w:bCs w:val="false"/>
          <w:color w:val="000000"/>
          <w:sz w:val="26"/>
          <w:szCs w:val="26"/>
        </w:rPr>
      </w:pPr>
      <w:r>
        <w:rPr>
          <w:rFonts w:cs="Arial" w:ascii="PT Astra Serif" w:hAnsi="PT Astra Serif"/>
          <w:b w:val="false"/>
          <w:bCs w:val="false"/>
          <w:color w:val="000000"/>
          <w:sz w:val="26"/>
          <w:szCs w:val="26"/>
        </w:rPr>
        <w:t>«II. Определение базовых окладов работников культуры.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2.1. Базовые оклады работников культуры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1"/>
        <w:gridCol w:w="2478"/>
      </w:tblGrid>
      <w:tr>
        <w:trPr/>
        <w:tc>
          <w:tcPr>
            <w:tcW w:w="7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Наименование должности</w:t>
            </w:r>
          </w:p>
        </w:tc>
        <w:tc>
          <w:tcPr>
            <w:tcW w:w="2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Контролер билетов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30 030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Смотритель музейный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30 030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Аккомпаниатор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Ассистенты: режиссера, дирижера, балетмейстера, хормейстера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Ведущий дискотеки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билетными кассами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костюмерной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Контролер-посадчик аттракциона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Культорганизатор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Мастер участка ремонта и реставрации фильмофонда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Организатор экскурсий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Помощник режиссера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Распорядитель танцевального вечера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33 330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Администратор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Администратор (старший администратор)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Артист оркестра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Артист-вокалист (солист)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Библиограф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Библиотекарь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Ведущий библиограф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Ведущий библиотекарь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Главный библиограф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Главный библиотекарь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аттракционом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Звукооператор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Кинооператор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Лектор (экскурсовод)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Методист по составлению кинопрограмм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Редактор (музыкальный редактор)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Редактор по репертуару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Специалист по жанрам творчества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Специалист по методике клубной работы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Специалист по учетно-хранительской документации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Специалист по фольклору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Специалист экспозиционного и выставочного отдела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Хранитель фондов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 по свету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Художник-декоратор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Художник-конструктор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Художник-оформитель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Художник-постановщик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Художник-реставратор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Художник-скульптор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Художник-фотограф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Балетмейстер-постановщик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Главный хранитель фондов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Главный художник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ветеринарной лабораторией зоопарка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отделом (сектором) библиотеки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отделом (сектором) зоопарка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отделом по эксплуатации аттракционной техники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передвижной выставкой музея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реставрационной мастерской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художественно-оформительской мастерской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Звукорежиссер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Режиссер (дирижер, балетмейстер, хормейстер)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Режиссер массовых представлений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Режиссер-постановщик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47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2.2. Базовые оклады работников культуры, не включенных в профессиональные квалификационные группы "Должности работников культуры, искусства и кинематографии ведущего звена" и "Должности руководящего состава учреждений культуры, искусства и кинематографии", устанавливаются в следующих размерах:</w:t>
      </w:r>
    </w:p>
    <w:tbl>
      <w:tblPr>
        <w:tblW w:w="9571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5"/>
        <w:gridCol w:w="2295"/>
      </w:tblGrid>
      <w:tr>
        <w:trPr/>
        <w:tc>
          <w:tcPr>
            <w:tcW w:w="7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2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7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Хранитель музейных предметов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Экскурсовод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Гид-переводчик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33 770</w:t>
            </w:r>
          </w:p>
        </w:tc>
      </w:tr>
      <w:tr>
        <w:trPr/>
        <w:tc>
          <w:tcPr>
            <w:tcW w:w="7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Главный хранитель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  <w:tr>
        <w:trPr/>
        <w:tc>
          <w:tcPr>
            <w:tcW w:w="7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Заведующий отделом (сектором) учета музея</w:t>
            </w:r>
          </w:p>
        </w:tc>
        <w:tc>
          <w:tcPr>
            <w:tcW w:w="2295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34 100</w:t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Дополнительно по должностям "заведующий отделом (сектором) музея", "заведующий отделом (сектором) учета музея", "заведующий отделом (сектором) библиотеки", "заведующий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организаций", "заведующий отделом (сектором) зоопарка", "заведующий отделением (пунктом) по прокату кино- и видеофильмов" и "художественный руководитель" применяется повышающий коэффициент к базовому окладу 1,1.»;</w:t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b/>
          <w:bCs/>
          <w:color w:val="000000"/>
          <w:sz w:val="26"/>
          <w:szCs w:val="26"/>
        </w:rPr>
        <w:t xml:space="preserve">1.2. </w:t>
      </w:r>
      <w:r>
        <w:rPr>
          <w:rFonts w:cs="Arial" w:ascii="PT Astra Serif" w:hAnsi="PT Astra Serif"/>
          <w:color w:val="000000"/>
          <w:sz w:val="26"/>
          <w:szCs w:val="26"/>
        </w:rPr>
        <w:t>таблицу 4 пункта 5.4 раздела V изложить в следующей редакции:</w:t>
      </w:r>
    </w:p>
    <w:p>
      <w:pPr>
        <w:pStyle w:val="Normal"/>
        <w:shd w:val="clear" w:fill="FFFFFF"/>
        <w:spacing w:lineRule="auto" w:line="240" w:before="94" w:after="94"/>
        <w:jc w:val="right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«Таблица 4</w:t>
      </w:r>
    </w:p>
    <w:p>
      <w:pPr>
        <w:pStyle w:val="Normal"/>
        <w:shd w:val="clear" w:fill="FFFFFF"/>
        <w:spacing w:lineRule="auto" w:line="240" w:before="94" w:after="94"/>
        <w:ind w:hanging="0"/>
        <w:jc w:val="center"/>
        <w:rPr>
          <w:rFonts w:ascii="PT Astra Serif" w:hAnsi="PT Astra Serif" w:cs="Arial"/>
          <w:b w:val="false"/>
          <w:bCs w:val="false"/>
          <w:color w:val="000000"/>
          <w:sz w:val="26"/>
          <w:szCs w:val="26"/>
        </w:rPr>
      </w:pPr>
      <w:r>
        <w:rPr>
          <w:rFonts w:cs="Arial" w:ascii="PT Astra Serif" w:hAnsi="PT Astra Serif"/>
          <w:b w:val="false"/>
          <w:bCs w:val="false"/>
          <w:color w:val="000000"/>
          <w:sz w:val="26"/>
          <w:szCs w:val="26"/>
        </w:rPr>
        <w:t>Оклады руководителей учреждений культуры</w:t>
      </w:r>
    </w:p>
    <w:tbl>
      <w:tblPr>
        <w:tblW w:w="969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844"/>
        <w:gridCol w:w="843"/>
        <w:gridCol w:w="839"/>
        <w:gridCol w:w="839"/>
        <w:gridCol w:w="951"/>
        <w:gridCol w:w="953"/>
        <w:gridCol w:w="952"/>
        <w:gridCol w:w="968"/>
      </w:tblGrid>
      <w:tr>
        <w:trPr/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Тип учреждения</w:t>
            </w:r>
          </w:p>
        </w:tc>
        <w:tc>
          <w:tcPr>
            <w:tcW w:w="7189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оклада в месяц, тыс. рублей</w:t>
            </w:r>
          </w:p>
        </w:tc>
      </w:tr>
      <w:tr>
        <w:trPr/>
        <w:tc>
          <w:tcPr>
            <w:tcW w:w="25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7189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группа по оплате труда</w:t>
            </w:r>
          </w:p>
        </w:tc>
      </w:tr>
      <w:tr>
        <w:trPr/>
        <w:tc>
          <w:tcPr>
            <w:tcW w:w="25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25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7189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25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до 10,999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11 до 30,999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31 до 50,999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51 до 75,999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76 до 150,999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151 до 300,999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от 301 до 500,999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свыше 501</w:t>
            </w:r>
          </w:p>
        </w:tc>
      </w:tr>
      <w:tr>
        <w:trPr/>
        <w:tc>
          <w:tcPr>
            <w:tcW w:w="2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9</w:t>
            </w:r>
          </w:p>
        </w:tc>
      </w:tr>
      <w:tr>
        <w:trPr/>
        <w:tc>
          <w:tcPr>
            <w:tcW w:w="2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Библиотеки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45,65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54,45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58,85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62,7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72,05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78,1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Клубы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43,45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51,15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54,45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58,85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60,5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78,1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Музеи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45,1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50,05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51,7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60,5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62,7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72,05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78,1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Культурно-досуговый центр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56,65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60,5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Местное радиовещание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42,35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Киновидеообъединения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39,6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45,65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39,6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58,3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59,4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60,5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8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-»;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eastAsia="Calibri" w:cs="Arial" w:ascii="PT Astra Serif" w:hAnsi="PT Astra Serif"/>
          <w:b/>
          <w:bCs/>
          <w:i w:val="false"/>
          <w:iCs w:val="false"/>
          <w:color w:val="000000"/>
          <w:sz w:val="26"/>
          <w:szCs w:val="26"/>
        </w:rPr>
        <w:t xml:space="preserve">1.3. </w:t>
      </w:r>
      <w:r>
        <w:rPr>
          <w:rFonts w:eastAsia="Calibri" w:cs="Arial" w:ascii="PT Astra Serif" w:hAnsi="PT Astra Serif"/>
          <w:b w:val="false"/>
          <w:bCs w:val="false"/>
          <w:i w:val="false"/>
          <w:iCs w:val="false"/>
          <w:color w:val="000000"/>
          <w:sz w:val="26"/>
          <w:szCs w:val="26"/>
        </w:rPr>
        <w:t>таблицу 5 пункта 5.5. раздела V изложить в следующей редакции:</w:t>
      </w:r>
    </w:p>
    <w:p>
      <w:pPr>
        <w:pStyle w:val="BodyText"/>
        <w:spacing w:lineRule="auto" w:line="240" w:before="0" w:after="0"/>
        <w:jc w:val="right"/>
        <w:rPr/>
      </w:pPr>
      <w:r>
        <w:rPr>
          <w:rFonts w:eastAsia="Calibri" w:cs="Arial" w:ascii="PT Astra Serif" w:hAnsi="PT Astra Serif"/>
          <w:b w:val="false"/>
          <w:bCs w:val="false"/>
          <w:i w:val="false"/>
          <w:iCs w:val="false"/>
          <w:color w:val="000000"/>
          <w:sz w:val="26"/>
          <w:szCs w:val="26"/>
        </w:rPr>
        <w:t>«Таблица 5</w:t>
      </w:r>
    </w:p>
    <w:p>
      <w:pPr>
        <w:pStyle w:val="BodyText"/>
        <w:spacing w:lineRule="auto" w:line="240" w:before="0" w:after="0"/>
        <w:jc w:val="center"/>
        <w:rPr/>
      </w:pPr>
      <w:r>
        <w:rPr>
          <w:rFonts w:eastAsia="Calibri" w:cs="Arial" w:ascii="PT Astra Serif" w:hAnsi="PT Astra Serif"/>
          <w:b w:val="false"/>
          <w:bCs w:val="false"/>
          <w:i w:val="false"/>
          <w:iCs w:val="false"/>
          <w:color w:val="000000"/>
          <w:sz w:val="26"/>
          <w:szCs w:val="26"/>
        </w:rPr>
        <w:t>Размер выплат стимулирующего характера за качество выполняемых работ руководителей учреждений культуры</w:t>
      </w:r>
    </w:p>
    <w:tbl>
      <w:tblPr>
        <w:tblW w:w="9838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29"/>
        <w:gridCol w:w="901"/>
        <w:gridCol w:w="909"/>
        <w:gridCol w:w="909"/>
        <w:gridCol w:w="910"/>
        <w:gridCol w:w="1020"/>
        <w:gridCol w:w="1080"/>
        <w:gridCol w:w="1070"/>
        <w:gridCol w:w="909"/>
      </w:tblGrid>
      <w:tr>
        <w:trPr/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Тип учреждения </w:t>
            </w:r>
          </w:p>
        </w:tc>
        <w:tc>
          <w:tcPr>
            <w:tcW w:w="77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выплат стимулирующего характера за качество выполняемых работ в месяц, тыс. рублей </w:t>
            </w:r>
          </w:p>
        </w:tc>
      </w:tr>
      <w:tr>
        <w:trPr/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группа по оплате труда </w:t>
            </w:r>
          </w:p>
        </w:tc>
      </w:tr>
      <w:tr>
        <w:trPr/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6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7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8 </w:t>
            </w:r>
          </w:p>
        </w:tc>
      </w:tr>
      <w:tr>
        <w:trPr/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штатная численность работников, ставок </w:t>
            </w:r>
          </w:p>
        </w:tc>
      </w:tr>
      <w:tr>
        <w:trPr/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до 10,999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 11 до 30,999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 31 до 50,999 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 51 до 75,999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 76 до 150,999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 151 до 300,999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 301 до 500,999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свыше 501</w:t>
            </w:r>
          </w:p>
        </w:tc>
      </w:tr>
      <w:tr>
        <w:trPr/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Библиотеки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4,95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6,05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6,6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Клубы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4,4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5,5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6,05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6,6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8,25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Музеи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4,4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4,95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5,5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Культурно-досуговый центр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6,05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6,6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Местное радиовещание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3,85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Киновидеообъединения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3,85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4,95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>
        <w:trPr/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Прочие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3,85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6,6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-»;</w:t>
            </w:r>
          </w:p>
        </w:tc>
      </w:tr>
    </w:tbl>
    <w:p>
      <w:pPr>
        <w:pStyle w:val="BodyText"/>
        <w:spacing w:lineRule="auto" w:line="240" w:before="0" w:after="0"/>
        <w:jc w:val="left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b w:val="false"/>
          <w:bCs w:val="false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i w:val="false"/>
          <w:iCs w:val="false"/>
          <w:color w:val="000000"/>
          <w:sz w:val="26"/>
          <w:szCs w:val="26"/>
        </w:rPr>
        <w:t>2.</w:t>
      </w:r>
      <w:r>
        <w:rPr>
          <w:rFonts w:eastAsia="Calibri" w:cs="Times New Roman" w:ascii="PT Astra Serif" w:hAnsi="PT Astra Serif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Внести в Положение об условиях оплаты труда работников профессиональных квалификационных групп общеотраслевых профессий рабочих, общеотраслевых должностей руководителей, специалистов и служащих муниципальных учреждений культуры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24 №552-п «Об условиях оплаты труда работников муниципальных учреждений культуры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</w:rPr>
        <w:t xml:space="preserve">2.1. </w:t>
      </w:r>
      <w:r>
        <w:rPr>
          <w:rFonts w:cs="Arial" w:ascii="PT Astra Serif" w:hAnsi="PT Astra Serif"/>
          <w:color w:val="000000"/>
          <w:sz w:val="26"/>
          <w:szCs w:val="26"/>
        </w:rPr>
        <w:t>раздел II изложить в следующей редакции:</w:t>
      </w:r>
    </w:p>
    <w:p>
      <w:pPr>
        <w:pStyle w:val="Normal"/>
        <w:shd w:val="clear" w:fill="FFFFFF"/>
        <w:spacing w:lineRule="auto" w:line="240" w:before="0" w:after="0"/>
        <w:ind w:left="914" w:right="914" w:hanging="0"/>
        <w:jc w:val="center"/>
        <w:rPr/>
      </w:pPr>
      <w:r>
        <w:rPr>
          <w:rFonts w:cs="Arial" w:ascii="PT Astra Serif" w:hAnsi="PT Astra Serif"/>
          <w:b w:val="false"/>
          <w:bCs w:val="false"/>
          <w:color w:val="000000"/>
          <w:sz w:val="26"/>
          <w:szCs w:val="26"/>
        </w:rPr>
        <w:t>«II. Определение базовых окладов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Сабинского муниципального района  Республики Татарстан</w:t>
      </w:r>
    </w:p>
    <w:p>
      <w:pPr>
        <w:pStyle w:val="Normal"/>
        <w:shd w:val="clear" w:fill="FFFFFF"/>
        <w:spacing w:lineRule="auto" w:line="240" w:before="0" w:after="0"/>
        <w:ind w:firstLine="612"/>
        <w:jc w:val="both"/>
        <w:rPr>
          <w:rFonts w:ascii="PT Astra Serif" w:hAnsi="PT Astra Serif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2.1. Базовые оклады работников профессиональных квалификационных групп общеотраслевых профессий рабочих муниципальных учреждений культуры Сабинского муниципального района  Республики Татарстан устанавливаются в следующих размерах:</w:t>
      </w:r>
    </w:p>
    <w:tbl>
      <w:tblPr>
        <w:tblW w:w="9697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4"/>
        <w:gridCol w:w="2422"/>
      </w:tblGrid>
      <w:tr>
        <w:trPr/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96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7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7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25 870</w:t>
            </w:r>
          </w:p>
        </w:tc>
      </w:tr>
      <w:tr>
        <w:trPr/>
        <w:tc>
          <w:tcPr>
            <w:tcW w:w="96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7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26 030</w:t>
            </w:r>
          </w:p>
        </w:tc>
      </w:tr>
      <w:tr>
        <w:trPr/>
        <w:tc>
          <w:tcPr>
            <w:tcW w:w="7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26 220</w:t>
            </w:r>
          </w:p>
        </w:tc>
      </w:tr>
      <w:tr>
        <w:trPr/>
        <w:tc>
          <w:tcPr>
            <w:tcW w:w="7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26 420</w:t>
            </w:r>
          </w:p>
        </w:tc>
      </w:tr>
      <w:tr>
        <w:trPr/>
        <w:tc>
          <w:tcPr>
            <w:tcW w:w="7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2422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27 010</w:t>
            </w:r>
          </w:p>
        </w:tc>
      </w:tr>
    </w:tbl>
    <w:p>
      <w:pPr>
        <w:pStyle w:val="Normal"/>
        <w:shd w:val="clear" w:fill="FFFFFF"/>
        <w:spacing w:lineRule="auto" w:line="240" w:before="94" w:after="94"/>
        <w:ind w:firstLine="612"/>
        <w:jc w:val="both"/>
        <w:rPr>
          <w:rFonts w:ascii="PT Astra Serif" w:hAnsi="PT Astra Serif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муниципальных учреждений культуры Сабинского муниципального района Республики Татарстан устанавливаются в следующих размерах:</w:t>
      </w:r>
    </w:p>
    <w:tbl>
      <w:tblPr>
        <w:tblW w:w="969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3"/>
        <w:gridCol w:w="2406"/>
      </w:tblGrid>
      <w:tr>
        <w:trPr/>
        <w:tc>
          <w:tcPr>
            <w:tcW w:w="7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96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25 870</w:t>
            </w:r>
          </w:p>
        </w:tc>
      </w:tr>
      <w:tr>
        <w:trPr/>
        <w:tc>
          <w:tcPr>
            <w:tcW w:w="96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26 030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26 220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26 420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26 660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26 870</w:t>
            </w:r>
          </w:p>
        </w:tc>
      </w:tr>
      <w:tr>
        <w:trPr/>
        <w:tc>
          <w:tcPr>
            <w:tcW w:w="96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27 080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27 300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27 560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27 780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28 000</w:t>
            </w:r>
          </w:p>
        </w:tc>
      </w:tr>
      <w:tr>
        <w:trPr/>
        <w:tc>
          <w:tcPr>
            <w:tcW w:w="96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29 040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29 260</w:t>
            </w:r>
          </w:p>
        </w:tc>
      </w:tr>
      <w:tr>
        <w:trPr/>
        <w:tc>
          <w:tcPr>
            <w:tcW w:w="7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406" w:type="dxa"/>
            <w:tcBorders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>
              <w:rPr>
                <w:rFonts w:cs="Arial" w:ascii="PT Astra Serif" w:hAnsi="PT Astra Serif"/>
                <w:color w:val="000000"/>
                <w:sz w:val="26"/>
                <w:szCs w:val="26"/>
              </w:rPr>
              <w:t>29 480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ind w:firstLine="612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cs="Arial" w:ascii="PT Astra Serif" w:hAnsi="PT Astra Serif"/>
          <w:color w:val="000000"/>
          <w:sz w:val="26"/>
          <w:szCs w:val="26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>
      <w:pPr>
        <w:pStyle w:val="Normal"/>
        <w:shd w:val="clear" w:fill="FFFFFF"/>
        <w:spacing w:lineRule="auto" w:line="240" w:before="0" w:after="0"/>
        <w:ind w:firstLine="612"/>
        <w:jc w:val="both"/>
        <w:rPr/>
      </w:pPr>
      <w:r>
        <w:rPr>
          <w:rFonts w:eastAsia="Calibri" w:cs="Times New Roman" w:ascii="Times New Roman" w:hAnsi="Times New Roman"/>
          <w:i w:val="false"/>
          <w:iCs w:val="false"/>
          <w:color w:val="000000"/>
          <w:sz w:val="26"/>
          <w:szCs w:val="26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 w:val="false"/>
        <w:jc w:val="both"/>
        <w:rPr/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3. </w:t>
      </w:r>
      <w:r>
        <w:rPr>
          <w:rFonts w:cs="Times New Roman" w:ascii="PT Astra Serif" w:hAnsi="PT Astra Serif"/>
          <w:sz w:val="26"/>
          <w:szCs w:val="26"/>
        </w:rPr>
        <w:t>Установить, что настоящее постановление вступает в силу с 01 января 2026 года.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 w:val="false"/>
        <w:jc w:val="both"/>
        <w:rPr/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4. </w:t>
      </w:r>
      <w:r>
        <w:rPr>
          <w:rFonts w:cs="Times New Roman" w:ascii="PT Astra Serif" w:hAnsi="PT Astra Serif"/>
          <w:sz w:val="26"/>
          <w:szCs w:val="26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PT Astra Serif" w:hAnsi="PT Astra Serif"/>
            <w:sz w:val="26"/>
            <w:szCs w:val="26"/>
          </w:rPr>
          <w:t>http://pravo.tatarstan.ru</w:t>
        </w:r>
      </w:hyperlink>
      <w:r>
        <w:rPr>
          <w:rFonts w:cs="Times New Roman" w:ascii="PT Astra Serif" w:hAnsi="PT Astra Serif"/>
          <w:sz w:val="26"/>
          <w:szCs w:val="26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/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Руководитель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/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Исполнительного комитета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/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Сабинского муниципального района</w:t>
        <w:tab/>
        <w:tab/>
        <w:tab/>
        <w:tab/>
        <w:t>М.Р. Каримов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20" w:top="1134" w:footer="0" w:bottom="709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shd w:val="clear" w:color="auto" w:fill="auto"/>
      <w:ind w:left="6015" w:hanging="0"/>
      <w:rPr/>
    </w:pPr>
    <w:r>
      <w:rPr>
        <w:rStyle w:val="9pt0pt"/>
      </w:rPr>
      <w:fldChar w:fldCharType="begin"/>
    </w:r>
    <w:r>
      <w:rPr>
        <w:rStyle w:val="9pt0pt"/>
      </w:rPr>
      <w:instrText xml:space="preserve"> PAGE </w:instrText>
    </w:r>
    <w:r>
      <w:rPr>
        <w:rStyle w:val="9pt0pt"/>
      </w:rPr>
      <w:fldChar w:fldCharType="separate"/>
    </w:r>
    <w:r>
      <w:rPr>
        <w:rStyle w:val="9pt0pt"/>
      </w:rPr>
      <w:t>0</w:t>
    </w:r>
    <w:r>
      <w:rPr>
        <w:rStyle w:val="9pt0pt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1b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21b06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21b0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21b0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21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21b06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21b06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21b06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21b06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21b06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Основной текст с отступом Знак"/>
    <w:basedOn w:val="DefaultParagraphFont"/>
    <w:qFormat/>
    <w:rsid w:val="00516ebd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21b06"/>
    <w:rPr>
      <w:b/>
      <w:bCs/>
      <w:color w:val="auto"/>
    </w:rPr>
  </w:style>
  <w:style w:type="character" w:styleId="Style1" w:customStyle="1">
    <w:name w:val="Текст выноски Знак"/>
    <w:basedOn w:val="DefaultParagraphFont"/>
    <w:link w:val="BalloonText"/>
    <w:uiPriority w:val="99"/>
    <w:qFormat/>
    <w:rsid w:val="00516ebd"/>
    <w:rPr>
      <w:rFonts w:ascii="Tahoma" w:hAnsi="Tahoma" w:eastAsia="Times New Roman" w:cs="Tahoma"/>
      <w:sz w:val="16"/>
      <w:szCs w:val="16"/>
      <w:lang w:eastAsia="ru-RU"/>
    </w:rPr>
  </w:style>
  <w:style w:type="character" w:styleId="Style2" w:customStyle="1">
    <w:name w:val="Верхний колонтитул Знак"/>
    <w:basedOn w:val="DefaultParagraphFont"/>
    <w:qFormat/>
    <w:rsid w:val="00aa18c3"/>
    <w:rPr/>
  </w:style>
  <w:style w:type="character" w:styleId="Style3" w:customStyle="1">
    <w:name w:val="Нижний колонтитул Знак"/>
    <w:basedOn w:val="DefaultParagraphFont"/>
    <w:uiPriority w:val="99"/>
    <w:qFormat/>
    <w:rsid w:val="00aa18c3"/>
    <w:rPr/>
  </w:style>
  <w:style w:type="character" w:styleId="1" w:customStyle="1">
    <w:name w:val="Заголовок 1 Знак"/>
    <w:basedOn w:val="DefaultParagraphFont"/>
    <w:uiPriority w:val="9"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8" w:customStyle="1">
    <w:name w:val="Заголовок 8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Style4" w:customStyle="1">
    <w:name w:val="Заголовок Знак"/>
    <w:basedOn w:val="DefaultParagraphFont"/>
    <w:uiPriority w:val="10"/>
    <w:qFormat/>
    <w:rsid w:val="00321b06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tyle5" w:customStyle="1">
    <w:name w:val="Подзаголовок Знак"/>
    <w:basedOn w:val="DefaultParagraphFont"/>
    <w:uiPriority w:val="11"/>
    <w:qFormat/>
    <w:rsid w:val="00321b06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321b06"/>
    <w:rPr>
      <w:i/>
      <w:iCs/>
      <w:color w:val="auto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21b06"/>
    <w:rPr>
      <w:i/>
      <w:iCs/>
      <w:color w:val="404040" w:themeColor="text1" w:themeTint="bf"/>
    </w:rPr>
  </w:style>
  <w:style w:type="character" w:styleId="Style6" w:customStyle="1">
    <w:name w:val="Выделенная цитата Знак"/>
    <w:basedOn w:val="DefaultParagraphFont"/>
    <w:link w:val="IntenseQuote"/>
    <w:uiPriority w:val="30"/>
    <w:qFormat/>
    <w:rsid w:val="00321b0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21b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1b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21b0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21b0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21b06"/>
    <w:rPr>
      <w:b/>
      <w:bCs/>
      <w:i/>
      <w:iCs/>
      <w:spacing w:val="5"/>
    </w:rPr>
  </w:style>
  <w:style w:type="character" w:styleId="Style7" w:customStyle="1">
    <w:name w:val="Основной текст_"/>
    <w:basedOn w:val="DefaultParagraphFont"/>
    <w:link w:val="22"/>
    <w:qFormat/>
    <w:rsid w:val="00784e0b"/>
    <w:rPr>
      <w:rFonts w:ascii="Times New Roman" w:hAnsi="Times New Roman" w:eastAsia="Times New Roman" w:cs="Times New Roman"/>
      <w:shd w:fill="FFFFFF" w:val="clear"/>
    </w:rPr>
  </w:style>
  <w:style w:type="character" w:styleId="Style8" w:customStyle="1">
    <w:name w:val="Колонтитул_"/>
    <w:basedOn w:val="DefaultParagraphFont"/>
    <w:link w:val="Style12"/>
    <w:qFormat/>
    <w:rsid w:val="002a753c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9pt0pt" w:customStyle="1">
    <w:name w:val="Колонтитул + 9 pt;Интервал 0 pt"/>
    <w:basedOn w:val="Style8"/>
    <w:qFormat/>
    <w:rsid w:val="002a753c"/>
    <w:rPr>
      <w:rFonts w:ascii="Times New Roman" w:hAnsi="Times New Roman" w:eastAsia="Times New Roman" w:cs="Times New Roman"/>
      <w:spacing w:val="10"/>
      <w:sz w:val="18"/>
      <w:szCs w:val="18"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1f008c"/>
    <w:rPr>
      <w:color w:val="0000FF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"/>
    <w:rsid w:val="00516ebd"/>
    <w:pPr>
      <w:spacing w:lineRule="auto" w:line="240" w:before="0" w:after="0"/>
      <w:ind w:left="720" w:hanging="720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Style11" w:customStyle="1">
    <w:name w:val="Знак"/>
    <w:basedOn w:val="Normal"/>
    <w:qFormat/>
    <w:rsid w:val="00516ebd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Style1"/>
    <w:uiPriority w:val="99"/>
    <w:qFormat/>
    <w:rsid w:val="00516ebd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12" w:customStyle="1">
    <w:name w:val="Колонтитул"/>
    <w:basedOn w:val="Normal"/>
    <w:link w:val="Style8"/>
    <w:qFormat/>
    <w:rsid w:val="002a753c"/>
    <w:pPr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Style2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3"/>
    <w:uiPriority w:val="99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8e5cb5"/>
    <w:pPr>
      <w:spacing w:before="0" w:after="160"/>
      <w:ind w:left="720" w:hanging="0"/>
      <w:contextualSpacing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321b06"/>
    <w:pPr>
      <w:spacing w:lineRule="auto" w:line="240" w:before="0"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Style4"/>
    <w:uiPriority w:val="10"/>
    <w:qFormat/>
    <w:rsid w:val="00321b06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5"/>
    <w:uiPriority w:val="11"/>
    <w:qFormat/>
    <w:rsid w:val="00321b06"/>
    <w:pPr>
      <w:numPr>
        <w:ilvl w:val="1"/>
      </w:numPr>
    </w:pPr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21b0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1"/>
    <w:uiPriority w:val="29"/>
    <w:qFormat/>
    <w:rsid w:val="00321b06"/>
    <w:pPr>
      <w:spacing w:before="200" w:after="160"/>
      <w:ind w:left="864" w:right="864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yle6"/>
    <w:uiPriority w:val="30"/>
    <w:qFormat/>
    <w:rsid w:val="00321b0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b06"/>
    <w:pPr>
      <w:outlineLvl w:val="9"/>
    </w:pPr>
    <w:rPr/>
  </w:style>
  <w:style w:type="paragraph" w:styleId="22" w:customStyle="1">
    <w:name w:val="Основной текст2"/>
    <w:basedOn w:val="Normal"/>
    <w:link w:val="Style7"/>
    <w:qFormat/>
    <w:rsid w:val="00784e0b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</w:rPr>
  </w:style>
  <w:style w:type="paragraph" w:styleId="ConsPlusNormal" w:customStyle="1">
    <w:name w:val="ConsPlusNormal"/>
    <w:qFormat/>
    <w:rsid w:val="00dd708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3">
    <w:name w:val="Без интервала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qFormat/>
    <w:rsid w:val="00516eb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6eb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DBB2-C24A-4D2A-A378-D1154918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AlterOffice/3.4.0.5$Linux_X86_64 LibreOffice_project/42a56b0e8fd994740b90ec49d38dce7d78d7a7e4</Application>
  <AppVersion>15.0000</AppVersion>
  <Pages>7</Pages>
  <Words>1493</Words>
  <Characters>10492</Characters>
  <CharactersWithSpaces>11592</CharactersWithSpaces>
  <Paragraphs>423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2024-10-31T10:32:00Z</dcterms:created>
  <dc:creator>Admin</dc:creator>
  <dc:description/>
  <dc:language>ru-RU</dc:language>
  <cp:lastModifiedBy>saby</cp:lastModifiedBy>
  <cp:lastPrinted>2025-05-06T13:20:54Z</cp:lastPrinted>
  <dcterms:modified xsi:type="dcterms:W3CDTF">2025-12-13T14:34:17Z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